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2004 88 vom 30. September 2004</w:t>
      </w:r>
    </w:p>
    <w:p>
      <w:r>
        <w:t>GR Gerichte, 2004-09-30, DE</w:t>
      </w:r>
    </w:p>
    <w:p>
      <w:r>
        <w:rPr>
          <w:b/>
        </w:rPr>
        <w:t xml:space="preserve">Quelle: </w:t>
      </w:r>
      <w:r>
        <w:t>https://mcp.opencaselaw.ch/entscheid/gr_gerichte_S 2004 88</w:t>
      </w:r>
    </w:p>
    <w:p>
      <w:r>
        <w:t>FR: GR_GERICHTE S 2004 88 du 30 septembre 2004</w:t>
      </w:r>
    </w:p>
    <w:p>
      <w:r>
        <w:t>IT: GR_GERICHTE S 2004 88 del 30 settembre 2004</w:t>
      </w:r>
    </w:p>
    <w:p>
      <w:pPr>
        <w:pStyle w:val="Heading2"/>
      </w:pPr>
      <w:r>
        <w:t>Regeste</w:t>
      </w:r>
    </w:p>
    <w:p>
      <w:r>
        <w:t>IV-Rente | Invalidenversicherung</w:t>
      </w:r>
    </w:p>
    <w:p>
      <w:pPr>
        <w:pStyle w:val="Heading2"/>
      </w:pPr>
      <w:r>
        <w:t>Erwägungen</w:t>
      </w:r>
    </w:p>
    <w:p>
      <w:r>
        <w:rPr>
          <w:b/>
        </w:rPr>
        <w:t>E. 2</w:t>
      </w:r>
    </w:p>
    <w:p>
      <w:r>
        <w:t>a) Vom 23. bis 30. April 2002 weilte der Versicherte im Spital ... Es wurden unklare thoracale Rückenschmerzen, chronische Bronchitis und eine Hauterkrankung diagnostiziert. b) Vom 20. November bis am 9. Dezember 2002 war er in der … (TSH) hospitalisiert. Es wurden folgende Diagnosen gestellt: Somatoforme Schmerz- und Funktionsstörung (chronisches panvertebrales Schmerzsyndrom; vegetative Dysfunktionen, kardial, intestinal), eine mittelgradig depressive Episode und chronische Bronchitis. c) Der Hausarzt Dr. med. … attestierte dem Versicherten in seinem Bericht vom</w:t>
      </w:r>
    </w:p>
    <w:p>
      <w:r>
        <w:rPr>
          <w:b/>
        </w:rPr>
        <w:t>E. 3</w:t>
      </w:r>
    </w:p>
    <w:p>
      <w:r>
        <w:t>Am 23. Dezember 2003 teilte die IV-Stelle dem Versicherten mit, dass die Ausrichtung einer IV-Rente ab 1. April 2003, basierend auf einem Invaliditätsgrad von 58%, beschlossen worden sei. Das zumutbare Erwerbseinkommen pro Jahr ohne Behinderung betrage Fr. 53'102.--. Als Invalider könnte er in einer geeigneten Tätigkeit zu 50% einen Verdienst von Fr. 21'998.-- erzielen. Dies ergebe eine Erwerbseinbusse von Fr. 31'104.--. Mit Verfügung vom 5. April 2004 wurde ihm eine halbe Rente zugesprochen. Dagegen erhob der Versicherte am 27. April 2004 Einsprache, welche von der IV-Stelle mit Entscheid vom 19. Mai 2004 abgewiesen wurde.</w:t>
      </w:r>
    </w:p>
    <w:p>
      <w:r>
        <w:rPr>
          <w:b/>
        </w:rPr>
        <w:t>E. 4</w:t>
      </w:r>
    </w:p>
    <w:p>
      <w:r>
        <w:t>a) Dagegen erhob der Versicherte mit Schreiben vom 16. Juni 2004 Beschwerde ans Verwaltungsgericht, welche er nach Aufforderung des Instruktionsrichters mit Schreiben vom 25. Juni 2004 verbesserte. Er beantragt sinngemäss die Aufhebung des Einspracheentscheides und die Neuberechnung seiner gesundheitlich bedingten Erwerbsunfähigkeit aufgrund seines jetzigen</w:t>
      </w:r>
    </w:p>
    <w:p>
      <w:r>
        <w:t>Gesundheitszustandes. Dieser lasse eine 50%-ige Tätigkeit nicht zu, auch wenn die Arbeit körperlich leicht und der Arbeitsplatz entsprechend angepasst sei. Er lege ein aktuelles Zeugnis seines Hausarztes bei. Wenn dies nicht genüge, sei allenfalls ein neutrales Gutachten durchzuführen. b) Im diesem Zeugnis vom 25. Juni 2004 schreibt Dr. med. …, dass sich der Gesundheitszustand seines Patienten seit Anfang des Jahres deutlich verschlechtert habe. An eine Erwerbstätigkeit sei nicht zu denken. Vor kurzem habe man sogar eine Einweisung ins Spital erwogen. Möglicherweise sei aufgrund des jetzigen Zustandes ein Kurzgutachten notwendig.</w:t>
      </w:r>
    </w:p>
    <w:p>
      <w:r>
        <w:rPr>
          <w:b/>
        </w:rPr>
        <w:t>E. 5</w:t>
      </w:r>
    </w:p>
    <w:p>
      <w:r>
        <w:t>In ihrer Vernehmlassung beantragt die IV-Stelle die Abweisung der Beschwerde. Es könne davon ausgegangen werden, dass der Versicherte bei Gesundheit immer noch als angelernte Arbeitskraft (Saisonnier) im Baugewerbe tätig wäre. Das Valideneinkommen sei aufgrund von Erfahrungs- und Durchschnittswerten zu berechnen. Unter Berücksichtigung der jüngsten Lohnstrukturerhebung könne ein gegenüber der Verfügung vom 5. April 2004 korrigiertes Valideneinkommen von Fr. 60'734.59 für das Jahr 2003 ermittelt werden. Die Diskrepanz zum ursprünglichen Betrag komme daher, dass man mit 12 und nicht mit 10 Monaten rechne und auf Erfahrungs- und Durchschnittswerte zurückgreife, nicht auf den Stundenlohn beim letzten Arbeitgeber. Zur Festsetzung des Invalideneinkommens könne auf die polydisziplinäre medizinische Begutachtung der TSH abgestellt werden. Diese attestiere dem Versicherten in einer geeigneten Tätigkeit eine 50%-ige Arbeitsfähigkeit. Daran vermöge das beigelegte Arztzeugnis nichts zu ändern, da es in medizinischer Hinsicht keine neuen Erkenntnisse liefere. Auf weitere Abklärungen könne verzichtet werden. Schlechte Deutschkenntnisse und die Arbeitsmarktsituation seien invaliditätsfremde Faktoren. Mit einer geeigneten Tätigkeit könne der Versicherte gemäss Tabellenlohn ein Gehalt von jährlich Fr. 28'903.09 erzielen. Da er eine adaptierte Tätigkeit ausüben könne, ohne dass ein Arbeitgeber weitere nennenswerte Einschränkungen des Leistungsvermögens hinzunehmen hätte, sei ein Leidensabzug von 10% gerechtfertigt. Daraus resultiere ein korrigiertes Invalideneinkommen für das Jahr 2003 von Fr. 26'012.78 und ein Invaliditätsgrad von 57.17%. Die</w:t>
      </w:r>
    </w:p>
    <w:p>
      <w:r>
        <w:t>Diskrepanz zum früher berechneten Invalideneinkommen ergebe sich aus der Berücksichtigung von 12 anstatt nur 10 Monaten.</w:t>
      </w:r>
    </w:p>
    <w:p>
      <w:r>
        <w:rPr>
          <w:b/>
        </w:rPr>
        <w:t>E. 6</w:t>
      </w:r>
    </w:p>
    <w:p>
      <w:r>
        <w:t>a) Vom ermittelten Tabellenlohn hat die Vorinstanz einen Leidensabzug von 10% vorgenommen. Um bei der Festsetzung des Invalideneinkommens den persönlichen Umständen des Einzelfalls (leidensbedingte Einschränkung, Alter, Dienstjahre, Nationalität/Aufenthaltskategorie und Beschäftigungsgrad) Rechnung zu tragen, können gemäss Rechtsprechung die Tabellenwerte um insgesamt höchstens 25% gekürzt werden. Der Einfluss dieser Merkmale auf das Invalideneinkommen ist nach pflichtgemässem Ermessen gesamthaft zu schätzen. In diesem Zusammenhang hat die Verwaltung und – im Beschwerdefall – das Gericht das verfassungsrechtliche Gebot der Begründungspflicht gemäss Art. 8 Abs. 1 BV zu beachten. Es soll verhindert werden, dass sich die Behörde von unsachlichen Motiven leiten lässt, und dem Betroffenen ermöglichen, die Verfügung gegebenenfalls sachgerecht anzufechten. Dieser muss sich über die Tragweite des Entscheides ein Bild machen können. In diesem Sinn müssen wenigstens kurz die Überlegungen genannt werden, von denen die Behörde sich hat leiten lassen und auf welche sich ihre Verfügung stützt. Die Verwaltung hat kurz zu begründen, warum sie einen Abzug vom Tabellenlohn gewährt, insbesondere welche Merkmale sie bei ihrer gesamthaften Schätzung berücksichtigt. (vgl. BGE 126 V 75 ff.; Locher, a.a.O., S. 249). b) Die IV-Stelle hat sich im Einspracheentscheid und in der Vernehmlassung nur äusserst knapp zum vorgenommenen Leidensabzug von 10% geäussert. Im Einspracheentscheid steht lediglich, der Abzug werde gewährt, da der Versicherte nur noch leichteste Arbeit verrichten könne. In der</w:t>
      </w:r>
    </w:p>
    <w:p>
      <w:r>
        <w:t>Vernehmlassung wird ausgeführt, dass der Abzug wegen des verminderten Beschäftigungsgrades in Betracht falle, hingegen habe ein Arbeitgeber bei adaptierter Tätigkeit des Versicherten keine weiteren nennenswerten gesundheitlich bedingten Einschränkungen des Leistungsvermögens zu gewärtigen, weshalb ein Leidensabzug von 10% gerechtfertigt sei. Diese rudimentäre Begründung vermag dem verfassungsrechtlichen Gebot der Begründungspflicht nicht zu genügen. Zu den Merkmalen Alter, Dienstjahre und Nationalität/Aufenthaltskategorie macht die Vorinstanz keinerlei Erwägungen. Angesichts der Tatsache, dass sowohl der Hausarzt als auch die TSH und der Arbeitsvermittler eine Wiedereingliederung des Versicherten für absolut unrealistisch halten, erscheint der Leidensabzug doch eher tief angesetzt. Der Einbezug der weiteren genannten Elemente könnte möglicherweise zu einer Erhöhung des Abzuges führen. Die Vorinstanz hat dies unter Einbezug aller relevanten Kriterien zu prüfen und das Ergebnis der Schätzung entsprechend zu begründen. Folglich ist die Beschwerde gutzuheissen und der angefochtene Einspracheentscheid ist aufzuheben. Die Sache ist zur Neubeurteilung und genügenden Begründung des Leidensabzuges an die Vorinstanz zurückzuweisen. Das Valideneinkommen ist entsprechend der ursprünglichen Berechnung im Einspracheentscheid festzulegen.</w:t>
      </w:r>
    </w:p>
    <w:p>
      <w:r>
        <w:rPr>
          <w:b/>
        </w:rPr>
        <w:t>E. 7</w:t>
      </w:r>
    </w:p>
    <w:p>
      <w:r>
        <w:t>Gerichtskosten werden keine erhoben, weil das Verfahren vor dem kantonalen Versicherungsgericht nach Art. 61 lit. a des ATSG – ausser bei leichtsinniger und mutwilliger Prozessführung – grundsätzlich kostenlos ist. Demnach erkennt das Gericht: 1. Die Beschwerde wird gutgeheissen, der angefochtene Entscheid und die zugrunde liegende Verfügung werden aufgehoben. Die Sache ist zur Neubeurteilung im Sinne der Erwägungen an die Vorinstanz zurückzuweisen. 2. Es werden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